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CA446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lang w:val="ru-RU" w:eastAsia="zh-CN" w:bidi="ar-SA"/>
        </w:rPr>
        <w:t>Таблица 2. Перечень направлений подготовки для приема иностранных студентов на программы магистратуры в Синьцзянский аграрный университет на 2026 год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482"/>
        <w:gridCol w:w="2397"/>
        <w:gridCol w:w="1994"/>
        <w:gridCol w:w="1577"/>
        <w:gridCol w:w="3374"/>
        <w:gridCol w:w="1953"/>
      </w:tblGrid>
      <w:tr w14:paraId="7B9C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1"/>
                <w:u w:val="none"/>
                <w:lang w:val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专业类别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>Категорияспециальности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专业名称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Названиеспециальности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授课语言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Языкпреподавания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学制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Срокобучения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语言能力要求</w:t>
            </w:r>
          </w:p>
          <w:p w14:paraId="5800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Требования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знанию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языка</w:t>
            </w:r>
          </w:p>
          <w:p w14:paraId="38F4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(дляпоступления/обучения)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其它要求</w:t>
            </w:r>
          </w:p>
          <w:p w14:paraId="553D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Прочие требования (для обучения н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а степень)</w:t>
            </w:r>
          </w:p>
        </w:tc>
      </w:tr>
      <w:tr w14:paraId="33BF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03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B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58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1D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5F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0E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08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</w:tr>
      <w:tr w14:paraId="5520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8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B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4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兽医学</w:t>
            </w:r>
          </w:p>
          <w:p w14:paraId="445191FE">
            <w:pPr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Ветеринарная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1.预防医学</w:t>
            </w:r>
          </w:p>
          <w:p w14:paraId="4E7EF33B">
            <w:pPr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рофилактическая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ундаментальная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3.临床医学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 xml:space="preserve">линическая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>медицина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2CB12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F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438C39B9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2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  <w:p w14:paraId="38C47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Физиология</w:t>
            </w:r>
          </w:p>
        </w:tc>
      </w:tr>
      <w:tr w14:paraId="759A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D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B195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ельскохозяйственная инженерия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240D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4.农业工程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ельскохозяйственная инженерия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121C2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2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4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42CD0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36E5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784A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8D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07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7370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5.食品科学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аука о питании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38F57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0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F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576BC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6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</w:tc>
      </w:tr>
      <w:tr w14:paraId="51ED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4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3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0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6.农学－作物遗传育种（小麦、棉花、玉米方向）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Селекция и генетика сельскохозяйственных культур (пшеница, хлопок, кукуруза</w:t>
            </w:r>
            <w:r>
              <w:rPr>
                <w:rFonts w:hint="eastAsia" w:eastAsia="仿宋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45308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0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74F9C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8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</w:tc>
      </w:tr>
      <w:tr w14:paraId="6223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D4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90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9697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7.草业科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Наука о пастбищах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09DA2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E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9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56618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5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</w:tc>
      </w:tr>
      <w:tr w14:paraId="358B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31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10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E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8.渔业</w:t>
            </w:r>
          </w:p>
          <w:p w14:paraId="0D632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0"/>
                <w:sz w:val="20"/>
                <w:szCs w:val="18"/>
                <w:shd w:val="clear" w:fill="FFFFFF"/>
              </w:rPr>
              <w:t>Р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auto"/>
                <w:spacing w:val="0"/>
                <w:sz w:val="20"/>
                <w:szCs w:val="18"/>
                <w:shd w:val="clear" w:fill="FFFFFF"/>
              </w:rPr>
              <w:t>ыболовство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75274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F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1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140F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7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Биохимия</w:t>
            </w:r>
          </w:p>
        </w:tc>
      </w:tr>
      <w:tr w14:paraId="31AB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C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47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经济学与农业管理</w:t>
            </w:r>
          </w:p>
          <w:p w14:paraId="60B5077C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Экономика и управление в сельском хозяйстве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9AE5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9.应用经济学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рикладная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экономика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4A8C2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B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29D1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1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662C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D2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8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C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10.农业管理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Управление сельским хозяйством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66CFE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E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1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186A5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D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07F4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06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E3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11.农林经济管理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Экономика и управление в сельском хозяйстве</w:t>
            </w:r>
            <w:bookmarkEnd w:id="0"/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6A8FD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+2～3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7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 для поступления</w:t>
            </w:r>
          </w:p>
          <w:p w14:paraId="48CD1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B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</w:tbl>
    <w:p w14:paraId="6C86644C">
      <w:pPr>
        <w:tabs>
          <w:tab w:val="left" w:pos="12511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</w:rPr>
        <w:t>одногодичный подготовительный курс, включающий курс китайского языка, а также другие требования для обучения на степень по запросу.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4740D5-A74D-465D-A263-8C58E7E17C8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4F4DA192-E6C3-45C2-92B4-40BC8C89F1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5AA09B-017A-469C-8019-EAE37C977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00F7C"/>
    <w:rsid w:val="06CB3E3C"/>
    <w:rsid w:val="29A245D5"/>
    <w:rsid w:val="389804E8"/>
    <w:rsid w:val="50076D78"/>
    <w:rsid w:val="5E20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1472</Characters>
  <Lines>0</Lines>
  <Paragraphs>0</Paragraphs>
  <TotalTime>0</TotalTime>
  <ScaleCrop>false</ScaleCrop>
  <LinksUpToDate>false</LinksUpToDate>
  <CharactersWithSpaces>1580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2026-03-23T10:14:00Z</dcterms:created>
  <dc:creator>一嗨</dc:creator>
  <cp:lastModifiedBy>一嗨</cp:lastModifiedBy>
  <dcterms:modified xsi:type="dcterms:W3CDTF">2026-03-24T03:20:24Z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A7FD7288EFB4473EB0834C3C0400AF1B_11</vt:lpwstr>
  </property>
  <property fmtid="{D5CDD505-2E9C-101B-9397-08002B2CF9AE}" pid="4" name="KSOTemplateDocerSaveRecord">
    <vt:lpwstr>eyJoZGlkIjoiZTRmMWI2OTY1MTA2OGU3NTFhN2E5ZjZkOWVmMzFiMjUiLCJ1c2VySWQiOiIyNTA3NjYwMzUifQ==</vt:lpwstr>
  </property>
</Properties>
</file>